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88E" w:rsidRDefault="00983AC2">
      <w:pPr>
        <w:ind w:firstLineChars="200" w:firstLine="560"/>
        <w:rPr>
          <w:rFonts w:ascii="黑体" w:eastAsia="黑体" w:hAnsi="黑体"/>
          <w:color w:val="000000"/>
          <w:sz w:val="28"/>
          <w:szCs w:val="28"/>
        </w:rPr>
      </w:pPr>
      <w:r>
        <w:rPr>
          <w:rFonts w:ascii="黑体" w:eastAsia="黑体" w:hAnsi="黑体" w:hint="eastAsia"/>
          <w:color w:val="000000"/>
          <w:sz w:val="28"/>
          <w:szCs w:val="28"/>
        </w:rPr>
        <w:t>HG/T3050.3</w:t>
      </w:r>
      <w:r>
        <w:rPr>
          <w:rFonts w:ascii="黑体" w:eastAsia="黑体" w:hAnsi="黑体" w:hint="eastAsia"/>
          <w:sz w:val="28"/>
          <w:szCs w:val="28"/>
        </w:rPr>
        <w:t>《橡胶或塑料涂覆织物 整卷特性的测定 第3部分：测定厚度的方法》</w:t>
      </w:r>
      <w:r w:rsidR="00FA2045">
        <w:rPr>
          <w:rFonts w:ascii="黑体" w:eastAsia="黑体" w:hAnsi="黑体" w:hint="eastAsia"/>
          <w:sz w:val="28"/>
          <w:szCs w:val="28"/>
        </w:rPr>
        <w:t>（征求意见稿）</w:t>
      </w:r>
      <w:r>
        <w:rPr>
          <w:rFonts w:ascii="黑体" w:eastAsia="黑体" w:hAnsi="黑体" w:hint="eastAsia"/>
          <w:color w:val="000000"/>
          <w:sz w:val="28"/>
          <w:szCs w:val="28"/>
        </w:rPr>
        <w:t>编制说明</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工作简况</w:t>
      </w:r>
    </w:p>
    <w:p w:rsidR="0048488E" w:rsidRDefault="00983AC2">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根</w:t>
      </w:r>
      <w:r>
        <w:rPr>
          <w:rFonts w:ascii="Times New Roman" w:eastAsia="宋体" w:hAnsi="Times New Roman" w:cs="Times New Roman"/>
          <w:sz w:val="24"/>
        </w:rPr>
        <w:t>据《</w:t>
      </w:r>
      <w:r>
        <w:rPr>
          <w:rFonts w:ascii="Times New Roman" w:eastAsia="宋体" w:hAnsi="Times New Roman" w:cs="Times New Roman" w:hint="eastAsia"/>
          <w:sz w:val="24"/>
        </w:rPr>
        <w:t>工业和信息化部办公厅关于印发</w:t>
      </w:r>
      <w:r>
        <w:rPr>
          <w:rFonts w:ascii="Times New Roman" w:eastAsia="宋体" w:hAnsi="Times New Roman" w:cs="Times New Roman" w:hint="eastAsia"/>
          <w:sz w:val="24"/>
        </w:rPr>
        <w:t>2018</w:t>
      </w:r>
      <w:r>
        <w:rPr>
          <w:rFonts w:ascii="Times New Roman" w:eastAsia="宋体" w:hAnsi="Times New Roman" w:cs="Times New Roman" w:hint="eastAsia"/>
          <w:sz w:val="24"/>
        </w:rPr>
        <w:t>年第二批行业标准制修订和外文版项目计划的通知</w:t>
      </w:r>
      <w:r>
        <w:rPr>
          <w:rFonts w:ascii="Times New Roman" w:eastAsia="宋体" w:hAnsi="Times New Roman" w:cs="Times New Roman"/>
          <w:sz w:val="24"/>
        </w:rPr>
        <w:t>》</w:t>
      </w:r>
      <w:r>
        <w:rPr>
          <w:rFonts w:ascii="Times New Roman" w:eastAsia="宋体" w:hAnsi="Times New Roman" w:cs="Times New Roman" w:hint="eastAsia"/>
          <w:sz w:val="24"/>
        </w:rPr>
        <w:t>（</w:t>
      </w:r>
      <w:proofErr w:type="gramStart"/>
      <w:r>
        <w:rPr>
          <w:rFonts w:ascii="Times New Roman" w:eastAsia="宋体" w:hAnsi="Times New Roman" w:cs="Times New Roman" w:hint="eastAsia"/>
          <w:sz w:val="24"/>
        </w:rPr>
        <w:t>工信厅科</w:t>
      </w:r>
      <w:proofErr w:type="gramEnd"/>
      <w:r>
        <w:rPr>
          <w:rFonts w:ascii="Times New Roman" w:eastAsia="宋体" w:hAnsi="Times New Roman" w:cs="Times New Roman" w:hint="eastAsia"/>
          <w:sz w:val="24"/>
        </w:rPr>
        <w:t>［</w:t>
      </w:r>
      <w:r>
        <w:rPr>
          <w:rFonts w:ascii="Times New Roman" w:eastAsia="宋体" w:hAnsi="Times New Roman" w:cs="Times New Roman" w:hint="eastAsia"/>
          <w:sz w:val="24"/>
        </w:rPr>
        <w:t>2018</w:t>
      </w:r>
      <w:r>
        <w:rPr>
          <w:rFonts w:ascii="Times New Roman" w:eastAsia="宋体" w:hAnsi="Times New Roman" w:cs="Times New Roman" w:hint="eastAsia"/>
          <w:sz w:val="24"/>
        </w:rPr>
        <w:t>］</w:t>
      </w:r>
      <w:r>
        <w:rPr>
          <w:rFonts w:ascii="Times New Roman" w:eastAsia="宋体" w:hAnsi="Times New Roman" w:cs="Times New Roman" w:hint="eastAsia"/>
          <w:sz w:val="24"/>
        </w:rPr>
        <w:t>31</w:t>
      </w:r>
      <w:r>
        <w:rPr>
          <w:rFonts w:ascii="Times New Roman" w:eastAsia="宋体" w:hAnsi="Times New Roman" w:cs="Times New Roman" w:hint="eastAsia"/>
          <w:sz w:val="24"/>
        </w:rPr>
        <w:t>号）的要求</w:t>
      </w:r>
      <w:r>
        <w:rPr>
          <w:rFonts w:ascii="Times New Roman" w:eastAsia="宋体" w:hAnsi="Times New Roman" w:cs="Times New Roman"/>
          <w:sz w:val="24"/>
        </w:rPr>
        <w:t>，</w:t>
      </w:r>
      <w:r>
        <w:rPr>
          <w:rFonts w:ascii="Times New Roman" w:eastAsia="宋体" w:hAnsi="Times New Roman" w:cs="Times New Roman" w:hint="eastAsia"/>
          <w:sz w:val="24"/>
        </w:rPr>
        <w:t>由北京燕阳新材料技术发展有限公司、河北燕阳特种纺织品有限公司、北京光华纺织集团有限公司、沈阳橡胶研究设计院有限公司等承担</w:t>
      </w:r>
      <w:r>
        <w:rPr>
          <w:rFonts w:ascii="Times New Roman" w:eastAsia="宋体" w:hAnsi="Times New Roman" w:cs="Times New Roman"/>
          <w:sz w:val="24"/>
        </w:rPr>
        <w:t>HG/T3050.3</w:t>
      </w:r>
      <w:r>
        <w:rPr>
          <w:rFonts w:ascii="Times New Roman" w:eastAsia="宋体" w:hAnsi="Times New Roman" w:cs="Times New Roman" w:hint="eastAsia"/>
          <w:sz w:val="24"/>
        </w:rPr>
        <w:t>《橡胶或塑料涂覆织物</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整卷特性的测定</w:t>
      </w:r>
      <w:r>
        <w:rPr>
          <w:rFonts w:ascii="Times New Roman" w:eastAsia="宋体" w:hAnsi="Times New Roman" w:cs="Times New Roman" w:hint="eastAsia"/>
          <w:sz w:val="24"/>
        </w:rPr>
        <w:t xml:space="preserve"> </w:t>
      </w:r>
      <w:r>
        <w:rPr>
          <w:rFonts w:ascii="Times New Roman" w:eastAsia="宋体" w:hAnsi="Times New Roman" w:cs="Times New Roman" w:hint="eastAsia"/>
          <w:sz w:val="24"/>
        </w:rPr>
        <w:t>第</w:t>
      </w:r>
      <w:r>
        <w:rPr>
          <w:rFonts w:ascii="Times New Roman" w:eastAsia="宋体" w:hAnsi="Times New Roman" w:cs="Times New Roman" w:hint="eastAsia"/>
          <w:sz w:val="24"/>
        </w:rPr>
        <w:t>3</w:t>
      </w:r>
      <w:r>
        <w:rPr>
          <w:rFonts w:ascii="Times New Roman" w:eastAsia="宋体" w:hAnsi="Times New Roman" w:cs="Times New Roman" w:hint="eastAsia"/>
          <w:sz w:val="24"/>
        </w:rPr>
        <w:t>部分：测定厚度的方法》推荐性行业标准修订任务（计划编号：</w:t>
      </w:r>
      <w:r>
        <w:rPr>
          <w:rFonts w:ascii="Times New Roman" w:eastAsia="宋体" w:hAnsi="Times New Roman" w:cs="Times New Roman" w:hint="eastAsia"/>
          <w:sz w:val="24"/>
        </w:rPr>
        <w:t>2018-0298T-HG</w:t>
      </w:r>
      <w:r>
        <w:rPr>
          <w:rFonts w:ascii="Times New Roman" w:eastAsia="宋体" w:hAnsi="Times New Roman" w:cs="Times New Roman" w:hint="eastAsia"/>
          <w:sz w:val="24"/>
        </w:rPr>
        <w:t>）。该标准等同采用</w:t>
      </w:r>
      <w:r>
        <w:rPr>
          <w:rFonts w:ascii="Times New Roman" w:eastAsia="宋体" w:hAnsi="Times New Roman" w:cs="Times New Roman" w:hint="eastAsia"/>
          <w:sz w:val="24"/>
        </w:rPr>
        <w:t>ISO 2286-3: 2016</w:t>
      </w:r>
      <w:r>
        <w:rPr>
          <w:rFonts w:ascii="Times New Roman" w:eastAsia="宋体" w:hAnsi="Times New Roman" w:cs="Times New Roman"/>
          <w:sz w:val="24"/>
        </w:rPr>
        <w:t>。</w:t>
      </w:r>
    </w:p>
    <w:p w:rsidR="0048488E" w:rsidRDefault="00983AC2">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按照国家标准修订的工作程序，接到任务后迅速成立了以北京燕阳新材料技术发展有限公司为主的标准修订小组，根据各单位从事技术工作特点，明确了不同分工。北京燕阳新材料技术发展有限公司是国内军队橡胶或塑料涂覆织物和橡胶软管的主要供应商和合作单位，拥有研究相关产品的先进技术和先进设备，</w:t>
      </w:r>
      <w:r>
        <w:rPr>
          <w:rFonts w:ascii="Times New Roman" w:eastAsia="宋体" w:hAnsi="Times New Roman" w:cs="Times New Roman"/>
          <w:sz w:val="24"/>
        </w:rPr>
        <w:t>负责和参与起草了涂覆织物方面的国家标准和国家军用标准，包括</w:t>
      </w:r>
      <w:r>
        <w:rPr>
          <w:rFonts w:ascii="Times New Roman" w:eastAsia="宋体" w:hAnsi="Times New Roman" w:cs="Times New Roman"/>
          <w:sz w:val="24"/>
        </w:rPr>
        <w:t>GJB5986-2007</w:t>
      </w:r>
      <w:r>
        <w:rPr>
          <w:rFonts w:ascii="Times New Roman" w:eastAsia="宋体" w:hAnsi="Times New Roman" w:cs="Times New Roman"/>
          <w:sz w:val="24"/>
        </w:rPr>
        <w:t>《聚氨酯软体储油罐用织物规范》、</w:t>
      </w:r>
      <w:r>
        <w:rPr>
          <w:rFonts w:ascii="Times New Roman" w:eastAsia="宋体" w:hAnsi="Times New Roman" w:cs="Times New Roman"/>
          <w:sz w:val="24"/>
        </w:rPr>
        <w:t>GB/T 34705-2017</w:t>
      </w:r>
      <w:r>
        <w:rPr>
          <w:rFonts w:ascii="Times New Roman" w:eastAsia="宋体" w:hAnsi="Times New Roman" w:cs="Times New Roman"/>
          <w:sz w:val="24"/>
        </w:rPr>
        <w:t>《橡胶或塑料涂覆织物油扩散性能的测定</w:t>
      </w:r>
      <w:r>
        <w:rPr>
          <w:rFonts w:ascii="Times New Roman" w:eastAsia="宋体" w:hAnsi="Times New Roman" w:cs="Times New Roman"/>
          <w:sz w:val="24"/>
        </w:rPr>
        <w:t xml:space="preserve">  </w:t>
      </w:r>
      <w:r>
        <w:rPr>
          <w:rFonts w:ascii="Times New Roman" w:eastAsia="宋体" w:hAnsi="Times New Roman" w:cs="Times New Roman"/>
          <w:sz w:val="24"/>
        </w:rPr>
        <w:t>杯法》、</w:t>
      </w:r>
      <w:r>
        <w:rPr>
          <w:rFonts w:ascii="Times New Roman" w:eastAsia="宋体" w:hAnsi="Times New Roman" w:cs="Times New Roman"/>
          <w:sz w:val="24"/>
        </w:rPr>
        <w:t>GJB6660-2009</w:t>
      </w:r>
      <w:r>
        <w:rPr>
          <w:rFonts w:ascii="Times New Roman" w:eastAsia="宋体" w:hAnsi="Times New Roman" w:cs="Times New Roman"/>
          <w:sz w:val="24"/>
        </w:rPr>
        <w:t>《</w:t>
      </w:r>
      <w:r>
        <w:rPr>
          <w:rFonts w:ascii="Times New Roman" w:eastAsia="宋体" w:hAnsi="Times New Roman" w:cs="Times New Roman"/>
          <w:sz w:val="24"/>
        </w:rPr>
        <w:t>200m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400m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w:t>
      </w:r>
      <w:r>
        <w:rPr>
          <w:rFonts w:ascii="Times New Roman" w:eastAsia="宋体" w:hAnsi="Times New Roman" w:cs="Times New Roman"/>
          <w:sz w:val="24"/>
        </w:rPr>
        <w:t>GJB4219A-2013</w:t>
      </w:r>
      <w:r>
        <w:rPr>
          <w:rFonts w:ascii="Times New Roman" w:eastAsia="宋体" w:hAnsi="Times New Roman" w:cs="Times New Roman"/>
          <w:sz w:val="24"/>
        </w:rPr>
        <w:t>《</w:t>
      </w:r>
      <w:r>
        <w:rPr>
          <w:rFonts w:ascii="Times New Roman" w:eastAsia="宋体" w:hAnsi="Times New Roman" w:cs="Times New Roman"/>
          <w:sz w:val="24"/>
        </w:rPr>
        <w:t>25m</w:t>
      </w:r>
      <w:r>
        <w:rPr>
          <w:rFonts w:ascii="Times New Roman" w:eastAsia="宋体" w:hAnsi="Times New Roman" w:cs="Times New Roman"/>
          <w:sz w:val="24"/>
          <w:vertAlign w:val="superscript"/>
        </w:rPr>
        <w:t>3</w:t>
      </w:r>
      <w:r>
        <w:rPr>
          <w:rFonts w:ascii="Times New Roman" w:eastAsia="宋体" w:hAnsi="Times New Roman" w:cs="Times New Roman"/>
          <w:sz w:val="24"/>
        </w:rPr>
        <w:t>、</w:t>
      </w:r>
      <w:r>
        <w:rPr>
          <w:rFonts w:ascii="Times New Roman" w:eastAsia="宋体" w:hAnsi="Times New Roman" w:cs="Times New Roman"/>
          <w:sz w:val="24"/>
        </w:rPr>
        <w:t>50m</w:t>
      </w:r>
      <w:r>
        <w:rPr>
          <w:rFonts w:ascii="Times New Roman" w:eastAsia="宋体" w:hAnsi="Times New Roman" w:cs="Times New Roman"/>
          <w:sz w:val="24"/>
          <w:vertAlign w:val="superscript"/>
        </w:rPr>
        <w:t>3</w:t>
      </w:r>
      <w:r>
        <w:rPr>
          <w:rFonts w:ascii="Times New Roman" w:eastAsia="宋体" w:hAnsi="Times New Roman" w:cs="Times New Roman"/>
          <w:sz w:val="24"/>
        </w:rPr>
        <w:t>和</w:t>
      </w:r>
      <w:r>
        <w:rPr>
          <w:rFonts w:ascii="Times New Roman" w:eastAsia="宋体" w:hAnsi="Times New Roman" w:cs="Times New Roman"/>
          <w:sz w:val="24"/>
        </w:rPr>
        <w:t>100m</w:t>
      </w:r>
      <w:r>
        <w:rPr>
          <w:rFonts w:ascii="Times New Roman" w:eastAsia="宋体" w:hAnsi="Times New Roman" w:cs="Times New Roman"/>
          <w:sz w:val="24"/>
          <w:vertAlign w:val="superscript"/>
        </w:rPr>
        <w:t>3</w:t>
      </w:r>
      <w:r>
        <w:rPr>
          <w:rFonts w:ascii="Times New Roman" w:eastAsia="宋体" w:hAnsi="Times New Roman" w:cs="Times New Roman"/>
          <w:sz w:val="24"/>
        </w:rPr>
        <w:t>储油囊规范》等，有良好的国家标准和国家军用标准起草基础。</w:t>
      </w:r>
      <w:r>
        <w:rPr>
          <w:rFonts w:ascii="Times New Roman" w:eastAsia="宋体" w:hAnsi="Times New Roman" w:cs="Times New Roman" w:hint="eastAsia"/>
          <w:sz w:val="24"/>
        </w:rPr>
        <w:t>北京光华纺织集团有限公司和河北燕阳特种纺织品有限公司</w:t>
      </w:r>
      <w:r>
        <w:rPr>
          <w:rFonts w:ascii="Times New Roman" w:eastAsia="宋体" w:hAnsi="Times New Roman" w:cs="Times New Roman"/>
          <w:sz w:val="24"/>
        </w:rPr>
        <w:t>具有丰富的生产经验和全套精密的检测设备</w:t>
      </w:r>
      <w:r>
        <w:rPr>
          <w:rFonts w:ascii="Times New Roman" w:eastAsia="宋体" w:hAnsi="Times New Roman" w:cs="Times New Roman" w:hint="eastAsia"/>
          <w:sz w:val="24"/>
        </w:rPr>
        <w:t>，负责收集和制作样品，进行验证试验。沈阳橡胶研究设计院有限公司为标准的编制提供技术服务和专家咨询，规范标准的编制过程。</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标准编制原则和标准主要内容的确定</w:t>
      </w:r>
    </w:p>
    <w:p w:rsidR="0048488E" w:rsidRDefault="00983AC2">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本标准按照</w:t>
      </w:r>
      <w:r>
        <w:rPr>
          <w:rFonts w:ascii="Times New Roman" w:eastAsia="宋体" w:hAnsi="Times New Roman" w:cs="Times New Roman"/>
          <w:color w:val="000000"/>
          <w:sz w:val="24"/>
        </w:rPr>
        <w:t>GB/T1.1-2009</w:t>
      </w:r>
      <w:r>
        <w:rPr>
          <w:rFonts w:ascii="Times New Roman" w:eastAsia="宋体" w:hAnsi="Times New Roman" w:cs="Times New Roman"/>
          <w:color w:val="000000"/>
          <w:sz w:val="24"/>
        </w:rPr>
        <w:t>《标准化工作导则</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第</w:t>
      </w:r>
      <w:r>
        <w:rPr>
          <w:rFonts w:ascii="Times New Roman" w:eastAsia="宋体" w:hAnsi="Times New Roman" w:cs="Times New Roman"/>
          <w:color w:val="000000"/>
          <w:sz w:val="24"/>
        </w:rPr>
        <w:t>1</w:t>
      </w:r>
      <w:r>
        <w:rPr>
          <w:rFonts w:ascii="Times New Roman" w:eastAsia="宋体" w:hAnsi="Times New Roman" w:cs="Times New Roman"/>
          <w:color w:val="000000"/>
          <w:sz w:val="24"/>
        </w:rPr>
        <w:t>部分</w:t>
      </w:r>
      <w:r>
        <w:rPr>
          <w:rFonts w:ascii="Times New Roman" w:eastAsia="宋体" w:hAnsi="Times New Roman" w:cs="Times New Roman"/>
          <w:color w:val="000000"/>
          <w:sz w:val="24"/>
        </w:rPr>
        <w:t xml:space="preserve"> </w:t>
      </w:r>
      <w:r>
        <w:rPr>
          <w:rFonts w:ascii="Times New Roman" w:eastAsia="宋体" w:hAnsi="Times New Roman" w:cs="Times New Roman"/>
          <w:color w:val="000000"/>
          <w:sz w:val="24"/>
        </w:rPr>
        <w:t>标准的结构和编写》要求起草。</w:t>
      </w:r>
    </w:p>
    <w:p w:rsidR="0048488E" w:rsidRDefault="00983AC2">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color w:val="000000"/>
          <w:sz w:val="24"/>
        </w:rPr>
        <w:t>标准编制原则</w:t>
      </w:r>
    </w:p>
    <w:p w:rsidR="0048488E" w:rsidRDefault="00983AC2">
      <w:pPr>
        <w:spacing w:line="360" w:lineRule="auto"/>
        <w:ind w:firstLineChars="200" w:firstLine="480"/>
        <w:rPr>
          <w:rFonts w:ascii="Times New Roman" w:eastAsia="宋体" w:hAnsi="Times New Roman" w:cs="Times New Roman"/>
          <w:color w:val="000000"/>
          <w:sz w:val="24"/>
        </w:rPr>
      </w:pPr>
      <w:r>
        <w:rPr>
          <w:rFonts w:ascii="Times New Roman" w:eastAsia="宋体" w:hAnsi="Times New Roman" w:cs="Times New Roman"/>
          <w:color w:val="000000"/>
          <w:sz w:val="24"/>
        </w:rPr>
        <w:t>以国际先进标准为依据，综合考虑国内现状，使该试验方法的可操作性更强，应用范围更广，试验结果更接近实际。</w:t>
      </w:r>
    </w:p>
    <w:p w:rsidR="0048488E" w:rsidRDefault="00983AC2">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试验仪器的选定</w:t>
      </w:r>
    </w:p>
    <w:p w:rsidR="0048488E" w:rsidRDefault="00983AC2">
      <w:p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lastRenderedPageBreak/>
        <w:t xml:space="preserve">    </w:t>
      </w:r>
      <w:r>
        <w:rPr>
          <w:rFonts w:ascii="Times New Roman" w:eastAsia="宋体" w:hAnsi="Times New Roman" w:cs="Times New Roman" w:hint="eastAsia"/>
          <w:color w:val="000000"/>
          <w:sz w:val="24"/>
        </w:rPr>
        <w:t>依据标准中</w:t>
      </w:r>
      <w:r>
        <w:rPr>
          <w:rFonts w:ascii="Times New Roman" w:eastAsia="宋体" w:hAnsi="Times New Roman" w:cs="Times New Roman" w:hint="eastAsia"/>
          <w:color w:val="000000"/>
          <w:sz w:val="24"/>
        </w:rPr>
        <w:t>4</w:t>
      </w:r>
      <w:r>
        <w:rPr>
          <w:rFonts w:ascii="Times New Roman" w:eastAsia="宋体" w:hAnsi="Times New Roman" w:cs="Times New Roman" w:hint="eastAsia"/>
          <w:color w:val="000000"/>
          <w:sz w:val="24"/>
        </w:rPr>
        <w:t>的要求，选用</w:t>
      </w:r>
      <w:r>
        <w:rPr>
          <w:rStyle w:val="a3"/>
          <w:rFonts w:ascii="宋体" w:hAnsi="宋体" w:cs="宋体" w:hint="eastAsia"/>
          <w:i w:val="0"/>
          <w:sz w:val="24"/>
          <w:shd w:val="clear" w:color="auto" w:fill="FFFFFF"/>
        </w:rPr>
        <w:t>YG141D</w:t>
      </w:r>
      <w:r>
        <w:rPr>
          <w:rFonts w:ascii="Times New Roman" w:eastAsia="宋体" w:hAnsi="Times New Roman" w:cs="Times New Roman" w:hint="eastAsia"/>
          <w:color w:val="000000"/>
          <w:sz w:val="24"/>
        </w:rPr>
        <w:t>厚度计（</w:t>
      </w:r>
      <w:r>
        <w:rPr>
          <w:rStyle w:val="a3"/>
          <w:rFonts w:ascii="宋体" w:hAnsi="宋体" w:cs="宋体" w:hint="eastAsia"/>
          <w:i w:val="0"/>
          <w:sz w:val="24"/>
          <w:shd w:val="clear" w:color="auto" w:fill="FFFFFF"/>
        </w:rPr>
        <w:t>温州方圆仪器有限按公司</w:t>
      </w:r>
      <w:r>
        <w:rPr>
          <w:rFonts w:ascii="Times New Roman" w:eastAsia="宋体" w:hAnsi="Times New Roman" w:cs="Times New Roman" w:hint="eastAsia"/>
          <w:color w:val="000000"/>
          <w:sz w:val="24"/>
        </w:rPr>
        <w:t>）、圆形压脚、基准平台、移动压脚的装置，并能满足其精确度要求。</w:t>
      </w:r>
    </w:p>
    <w:p w:rsidR="0048488E" w:rsidRDefault="00983AC2">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试验步骤按照标准中</w:t>
      </w:r>
      <w:r>
        <w:rPr>
          <w:rFonts w:ascii="Times New Roman" w:eastAsia="宋体" w:hAnsi="Times New Roman" w:cs="Times New Roman" w:hint="eastAsia"/>
          <w:color w:val="000000"/>
          <w:sz w:val="24"/>
        </w:rPr>
        <w:t>6</w:t>
      </w:r>
      <w:r>
        <w:rPr>
          <w:rFonts w:ascii="Times New Roman" w:eastAsia="宋体" w:hAnsi="Times New Roman" w:cs="Times New Roman" w:hint="eastAsia"/>
          <w:color w:val="000000"/>
          <w:sz w:val="24"/>
        </w:rPr>
        <w:t>的要求进行试验。</w:t>
      </w:r>
      <w:r>
        <w:rPr>
          <w:rFonts w:ascii="Times New Roman" w:eastAsia="宋体" w:hAnsi="Times New Roman" w:cs="Times New Roman" w:hint="eastAsia"/>
          <w:color w:val="000000"/>
          <w:sz w:val="24"/>
        </w:rPr>
        <w:t xml:space="preserve">  </w:t>
      </w:r>
    </w:p>
    <w:p w:rsidR="0048488E" w:rsidRDefault="00983AC2">
      <w:pPr>
        <w:numPr>
          <w:ilvl w:val="0"/>
          <w:numId w:val="2"/>
        </w:numPr>
        <w:spacing w:line="360" w:lineRule="auto"/>
        <w:rPr>
          <w:rFonts w:ascii="Times New Roman" w:eastAsia="宋体" w:hAnsi="Times New Roman" w:cs="Times New Roman"/>
          <w:color w:val="000000"/>
          <w:sz w:val="24"/>
        </w:rPr>
      </w:pPr>
      <w:r>
        <w:rPr>
          <w:rFonts w:ascii="Times New Roman" w:eastAsia="宋体" w:hAnsi="Times New Roman" w:cs="Times New Roman" w:hint="eastAsia"/>
          <w:color w:val="000000"/>
          <w:sz w:val="24"/>
        </w:rPr>
        <w:t>与前一版的主要技术变化</w:t>
      </w:r>
    </w:p>
    <w:p w:rsidR="0048488E" w:rsidRDefault="00983AC2">
      <w:pPr>
        <w:spacing w:line="360" w:lineRule="auto"/>
        <w:rPr>
          <w:rFonts w:ascii="宋体" w:eastAsia="宋体" w:hAnsi="宋体" w:cs="宋体"/>
          <w:color w:val="000000"/>
          <w:sz w:val="24"/>
        </w:rPr>
      </w:pPr>
      <w:r>
        <w:rPr>
          <w:rFonts w:ascii="宋体" w:eastAsia="宋体" w:hAnsi="宋体" w:cs="宋体" w:hint="eastAsia"/>
          <w:color w:val="000000"/>
          <w:sz w:val="24"/>
        </w:rPr>
        <w:t>①改变厚度计精度</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新标准叙述为：自重式，能记录压脚支撑表面与基准平台之间的垂直距离，并带有可直接读出厚度值的刻度盘，精确到0.01mm。</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原标准叙述为：为定负荷型，能记录压脚支撑表面和基准平板之间的垂直距离，并带有可直读到0.02mm的刻度盘。</w:t>
      </w:r>
    </w:p>
    <w:p w:rsidR="0048488E" w:rsidRDefault="00983AC2">
      <w:pPr>
        <w:spacing w:line="360" w:lineRule="auto"/>
        <w:rPr>
          <w:rFonts w:ascii="宋体" w:eastAsia="宋体" w:hAnsi="宋体" w:cs="宋体"/>
          <w:color w:val="000000"/>
          <w:sz w:val="24"/>
        </w:rPr>
      </w:pPr>
      <w:r>
        <w:rPr>
          <w:rFonts w:ascii="宋体" w:eastAsia="宋体" w:hAnsi="宋体" w:cs="宋体" w:hint="eastAsia"/>
          <w:color w:val="000000"/>
          <w:sz w:val="24"/>
        </w:rPr>
        <w:t>②增加压力推荐值和相应力值</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新标准叙述为：圆形压脚具有平滑的表面，并且直径不少于9 mm，应能施加下列一种或多种压力：</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a) 2kPa±0.2kPa；</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b) 5kPa±0.5kPa；</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c) 10kPa±1.0kPa；</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d) 24kPa±2.4kPa。</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注1：假设压脚的直径为10mm，根据每种压力计算的力：</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a) 0.157N±0.016N；</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b) 0.393N±0.039N；</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c) 0.785N±0.079N；</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d) 1.88N±0.19N。</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原标准叙述为：圆形压脚具有平滑的表面，并且直径不少于9 mm，应能施加下列一种或多种压力：</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a) （2±0.2）</w:t>
      </w:r>
      <w:proofErr w:type="spellStart"/>
      <w:r>
        <w:rPr>
          <w:rFonts w:ascii="宋体" w:eastAsia="宋体" w:hAnsi="宋体" w:cs="宋体" w:hint="eastAsia"/>
          <w:color w:val="000000"/>
          <w:sz w:val="24"/>
        </w:rPr>
        <w:t>kPa</w:t>
      </w:r>
      <w:proofErr w:type="spellEnd"/>
      <w:r>
        <w:rPr>
          <w:rFonts w:ascii="宋体" w:eastAsia="宋体" w:hAnsi="宋体" w:cs="宋体" w:hint="eastAsia"/>
          <w:color w:val="000000"/>
          <w:sz w:val="24"/>
        </w:rPr>
        <w:t>；</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b) （10±1.0）</w:t>
      </w:r>
      <w:proofErr w:type="spellStart"/>
      <w:r>
        <w:rPr>
          <w:rFonts w:ascii="宋体" w:eastAsia="宋体" w:hAnsi="宋体" w:cs="宋体" w:hint="eastAsia"/>
          <w:color w:val="000000"/>
          <w:sz w:val="24"/>
        </w:rPr>
        <w:t>kPa</w:t>
      </w:r>
      <w:proofErr w:type="spellEnd"/>
      <w:r>
        <w:rPr>
          <w:rFonts w:ascii="宋体" w:eastAsia="宋体" w:hAnsi="宋体" w:cs="宋体" w:hint="eastAsia"/>
          <w:color w:val="000000"/>
          <w:sz w:val="24"/>
        </w:rPr>
        <w:t>；</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c) （24±2.4）</w:t>
      </w:r>
      <w:proofErr w:type="spellStart"/>
      <w:r>
        <w:rPr>
          <w:rFonts w:ascii="宋体" w:eastAsia="宋体" w:hAnsi="宋体" w:cs="宋体" w:hint="eastAsia"/>
          <w:color w:val="000000"/>
          <w:sz w:val="24"/>
        </w:rPr>
        <w:t>kPa</w:t>
      </w:r>
      <w:proofErr w:type="spellEnd"/>
      <w:r>
        <w:rPr>
          <w:rFonts w:ascii="宋体" w:eastAsia="宋体" w:hAnsi="宋体" w:cs="宋体" w:hint="eastAsia"/>
          <w:color w:val="000000"/>
          <w:sz w:val="24"/>
        </w:rPr>
        <w:t>；</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新标准中增加了5kPa压力，并且增加了每个压力的</w:t>
      </w:r>
      <w:proofErr w:type="gramStart"/>
      <w:r>
        <w:rPr>
          <w:rFonts w:ascii="宋体" w:eastAsia="宋体" w:hAnsi="宋体" w:cs="宋体" w:hint="eastAsia"/>
          <w:color w:val="000000"/>
          <w:sz w:val="24"/>
        </w:rPr>
        <w:t>相应力值作为</w:t>
      </w:r>
      <w:proofErr w:type="gramEnd"/>
      <w:r>
        <w:rPr>
          <w:rFonts w:ascii="宋体" w:eastAsia="宋体" w:hAnsi="宋体" w:cs="宋体" w:hint="eastAsia"/>
          <w:color w:val="000000"/>
          <w:sz w:val="24"/>
        </w:rPr>
        <w:t>参考。</w:t>
      </w:r>
    </w:p>
    <w:p w:rsidR="0048488E" w:rsidRDefault="00983AC2">
      <w:pPr>
        <w:spacing w:line="360" w:lineRule="auto"/>
        <w:rPr>
          <w:rFonts w:ascii="宋体" w:eastAsia="宋体" w:hAnsi="宋体" w:cs="宋体"/>
          <w:color w:val="000000"/>
          <w:sz w:val="24"/>
        </w:rPr>
      </w:pPr>
      <w:r>
        <w:rPr>
          <w:rFonts w:ascii="宋体" w:eastAsia="宋体" w:hAnsi="宋体" w:cs="宋体" w:hint="eastAsia"/>
          <w:color w:val="000000"/>
          <w:sz w:val="24"/>
        </w:rPr>
        <w:t>③明确了调节环境</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新标准叙述为：按照ISO 2231:1989调节方法1的规定调节试验的涂覆织物。</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lastRenderedPageBreak/>
        <w:t>原标准叙述为：根据HG/T2867规定调节试验的涂覆织物。</w:t>
      </w:r>
    </w:p>
    <w:p w:rsidR="0048488E" w:rsidRDefault="00983AC2">
      <w:pPr>
        <w:spacing w:line="360" w:lineRule="auto"/>
        <w:rPr>
          <w:rFonts w:ascii="宋体" w:eastAsia="宋体" w:hAnsi="宋体" w:cs="宋体"/>
          <w:color w:val="000000"/>
          <w:sz w:val="24"/>
        </w:rPr>
      </w:pPr>
      <w:r>
        <w:rPr>
          <w:rFonts w:ascii="宋体" w:eastAsia="宋体" w:hAnsi="宋体" w:cs="宋体" w:hint="eastAsia"/>
          <w:color w:val="000000"/>
          <w:sz w:val="24"/>
        </w:rPr>
        <w:t>④程序章节修改</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6.1 通则</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记录测量期间的环境温度和湿度。</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6.2 测量</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每次测量之前，清洁压脚和</w:t>
      </w:r>
      <w:proofErr w:type="gramStart"/>
      <w:r>
        <w:rPr>
          <w:rFonts w:ascii="宋体" w:eastAsia="宋体" w:hAnsi="宋体" w:cs="宋体" w:hint="eastAsia"/>
          <w:color w:val="000000"/>
          <w:sz w:val="24"/>
        </w:rPr>
        <w:t>砧</w:t>
      </w:r>
      <w:proofErr w:type="gramEnd"/>
      <w:r>
        <w:rPr>
          <w:rFonts w:ascii="宋体" w:eastAsia="宋体" w:hAnsi="宋体" w:cs="宋体" w:hint="eastAsia"/>
          <w:color w:val="000000"/>
          <w:sz w:val="24"/>
        </w:rPr>
        <w:t>台表面，并调整厚度计使</w:t>
      </w:r>
      <w:proofErr w:type="gramStart"/>
      <w:r>
        <w:rPr>
          <w:rFonts w:ascii="宋体" w:eastAsia="宋体" w:hAnsi="宋体" w:cs="宋体" w:hint="eastAsia"/>
          <w:color w:val="000000"/>
          <w:sz w:val="24"/>
        </w:rPr>
        <w:t>砧</w:t>
      </w:r>
      <w:proofErr w:type="gramEnd"/>
      <w:r>
        <w:rPr>
          <w:rFonts w:ascii="宋体" w:eastAsia="宋体" w:hAnsi="宋体" w:cs="宋体" w:hint="eastAsia"/>
          <w:color w:val="000000"/>
          <w:sz w:val="24"/>
        </w:rPr>
        <w:t>台与压</w:t>
      </w:r>
      <w:proofErr w:type="gramStart"/>
      <w:r>
        <w:rPr>
          <w:rFonts w:ascii="宋体" w:eastAsia="宋体" w:hAnsi="宋体" w:cs="宋体" w:hint="eastAsia"/>
          <w:color w:val="000000"/>
          <w:sz w:val="24"/>
        </w:rPr>
        <w:t>脚接触</w:t>
      </w:r>
      <w:proofErr w:type="gramEnd"/>
      <w:r>
        <w:rPr>
          <w:rFonts w:ascii="宋体" w:eastAsia="宋体" w:hAnsi="宋体" w:cs="宋体" w:hint="eastAsia"/>
          <w:color w:val="000000"/>
          <w:sz w:val="24"/>
        </w:rPr>
        <w:t>时表盘显示为零。按照下述方法至少测量五个点的厚度，均匀等距的横跨涂覆织物的有效宽度，不包括50mm布边。</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将涂覆织物放在</w:t>
      </w:r>
      <w:proofErr w:type="gramStart"/>
      <w:r>
        <w:rPr>
          <w:rFonts w:ascii="宋体" w:eastAsia="宋体" w:hAnsi="宋体" w:cs="宋体" w:hint="eastAsia"/>
          <w:color w:val="000000"/>
          <w:sz w:val="24"/>
        </w:rPr>
        <w:t>砧</w:t>
      </w:r>
      <w:proofErr w:type="gramEnd"/>
      <w:r>
        <w:rPr>
          <w:rFonts w:ascii="宋体" w:eastAsia="宋体" w:hAnsi="宋体" w:cs="宋体" w:hint="eastAsia"/>
          <w:color w:val="000000"/>
          <w:sz w:val="24"/>
        </w:rPr>
        <w:t>台上，确保涂覆织物平整，无折痕或皱褶，无任何拉伸。如果织物存在折痕，在测量之前不要试图把他们弄平。将压脚轻轻地下压到织物上，使其在织物上停留至表盘读数稳定。如果停留超过30 s，在试验报告中记录达到稳定的时间段。记录厚度计读数，精确到0.01 mm。。</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原标准叙述为：每次测量之前，清洁压脚和平台表面，并调整厚度计使平台与压</w:t>
      </w:r>
      <w:proofErr w:type="gramStart"/>
      <w:r>
        <w:rPr>
          <w:rFonts w:ascii="宋体" w:eastAsia="宋体" w:hAnsi="宋体" w:cs="宋体" w:hint="eastAsia"/>
          <w:color w:val="000000"/>
          <w:sz w:val="24"/>
        </w:rPr>
        <w:t>脚接触</w:t>
      </w:r>
      <w:proofErr w:type="gramEnd"/>
      <w:r>
        <w:rPr>
          <w:rFonts w:ascii="宋体" w:eastAsia="宋体" w:hAnsi="宋体" w:cs="宋体" w:hint="eastAsia"/>
          <w:color w:val="000000"/>
          <w:sz w:val="24"/>
        </w:rPr>
        <w:t>时表盘显示为零。涂覆织物的有效宽度上均匀等距按如下所述测量10个点的厚度。</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将涂覆织物放在平台上，确保织物光滑平整，无皱折，无任何拉伸。如果织物有折痕，在测量之前不要试图把它们弄平。将压脚轻轻放下到织物上，使其在织物上停留10s。（对于很易被压缩的材料，以在其上停留30 s，并在试验报告中予以说明。）记录厚度计读数（精确到0.01 mm）。</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新标准增加了记录温度和湿度的要求，明确规定了有效宽度，下压时间周期变得更灵活，易操作。</w:t>
      </w:r>
    </w:p>
    <w:p w:rsidR="0048488E" w:rsidRDefault="00983AC2">
      <w:pPr>
        <w:spacing w:line="360" w:lineRule="auto"/>
        <w:rPr>
          <w:rFonts w:ascii="宋体" w:eastAsia="宋体" w:hAnsi="宋体" w:cs="宋体"/>
          <w:color w:val="000000"/>
          <w:sz w:val="24"/>
        </w:rPr>
      </w:pPr>
      <w:r>
        <w:rPr>
          <w:rFonts w:ascii="宋体" w:eastAsia="宋体" w:hAnsi="宋体" w:cs="宋体" w:hint="eastAsia"/>
          <w:color w:val="000000"/>
          <w:sz w:val="24"/>
        </w:rPr>
        <w:t>⑤增加了试验报告的内容</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新标准叙述为：试验报告应包括下列内容：</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a)本部分标准编号；</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b)测量期间的环境温度和湿度；</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c)涂覆织物的详细说明；</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d)涂覆织物的厚度平均值、最小厚度和最大厚度，以mm表示，测量时施加的压力，所用的压脚直径和压脚停留在涂覆织物上的时长；</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lastRenderedPageBreak/>
        <w:t>e)试样被下压超过30s时的时间段；</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f)任何与规定的程序不相符的说明；</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g)测定日期。</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原标准叙述为：试验报告应包括下列内容：</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a)本部分标准编号。</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b)涂覆织物的详细说明。</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c)</w:t>
      </w:r>
      <w:bookmarkStart w:id="0" w:name="_GoBack"/>
      <w:bookmarkEnd w:id="0"/>
      <w:r>
        <w:rPr>
          <w:rFonts w:ascii="宋体" w:eastAsia="宋体" w:hAnsi="宋体" w:cs="宋体" w:hint="eastAsia"/>
          <w:color w:val="000000"/>
          <w:sz w:val="24"/>
        </w:rPr>
        <w:t>涂覆织物的最小厚度、最大厚度和平均厚度值（以mm表示），测量时所用的压力，所用的压脚直径和压脚停留在涂覆织物上的时间。</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d)任何与规定的程序不相符的说明；</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e)测定日期。</w:t>
      </w:r>
    </w:p>
    <w:p w:rsidR="0048488E" w:rsidRDefault="00983AC2">
      <w:pPr>
        <w:spacing w:line="360" w:lineRule="auto"/>
        <w:ind w:firstLine="480"/>
        <w:rPr>
          <w:rFonts w:ascii="宋体" w:eastAsia="宋体" w:hAnsi="宋体" w:cs="宋体"/>
          <w:color w:val="000000"/>
          <w:sz w:val="24"/>
        </w:rPr>
      </w:pPr>
      <w:r>
        <w:rPr>
          <w:rFonts w:ascii="宋体" w:eastAsia="宋体" w:hAnsi="宋体" w:cs="宋体" w:hint="eastAsia"/>
          <w:color w:val="000000"/>
          <w:sz w:val="24"/>
        </w:rPr>
        <w:t>新标准中增加了测量期间的环境温度和湿度以及试样被下压超过30s时的时间段的记录，更加准确详细描述厚度测试过程。</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主要验证试验</w:t>
      </w:r>
    </w:p>
    <w:p w:rsidR="0048488E" w:rsidRDefault="00983AC2">
      <w:pPr>
        <w:ind w:firstLine="480"/>
        <w:rPr>
          <w:rFonts w:ascii="宋体" w:eastAsia="宋体" w:hAnsi="宋体"/>
          <w:color w:val="000000"/>
          <w:sz w:val="24"/>
        </w:rPr>
      </w:pPr>
      <w:r>
        <w:rPr>
          <w:rFonts w:ascii="宋体" w:eastAsia="宋体" w:hAnsi="宋体" w:hint="eastAsia"/>
          <w:color w:val="000000"/>
          <w:sz w:val="24"/>
        </w:rPr>
        <w:t>项目组随机从市场上选取3种涂覆织物样品共9个试样，对其进行厚度试验，基准平台直径为110mm，压脚直径为11.30mm,施加压力为50cN，压脚停留在涂覆织物上的时间为30s，试验结果见表1。</w:t>
      </w:r>
    </w:p>
    <w:p w:rsidR="0048488E" w:rsidRDefault="00983AC2">
      <w:pPr>
        <w:ind w:firstLine="480"/>
        <w:jc w:val="center"/>
        <w:rPr>
          <w:rFonts w:ascii="宋体" w:eastAsia="宋体" w:hAnsi="宋体"/>
          <w:color w:val="000000"/>
          <w:sz w:val="24"/>
        </w:rPr>
      </w:pPr>
      <w:r>
        <w:rPr>
          <w:rFonts w:ascii="宋体" w:eastAsia="宋体" w:hAnsi="宋体" w:hint="eastAsia"/>
          <w:color w:val="000000"/>
          <w:sz w:val="24"/>
        </w:rPr>
        <w:t>表1 试验结果</w:t>
      </w:r>
    </w:p>
    <w:tbl>
      <w:tblPr>
        <w:tblW w:w="8700" w:type="dxa"/>
        <w:tblLayout w:type="fixed"/>
        <w:tblCellMar>
          <w:left w:w="0" w:type="dxa"/>
          <w:right w:w="0" w:type="dxa"/>
        </w:tblCellMar>
        <w:tblLook w:val="04A0"/>
      </w:tblPr>
      <w:tblGrid>
        <w:gridCol w:w="1227"/>
        <w:gridCol w:w="830"/>
        <w:gridCol w:w="831"/>
        <w:gridCol w:w="830"/>
        <w:gridCol w:w="830"/>
        <w:gridCol w:w="830"/>
        <w:gridCol w:w="831"/>
        <w:gridCol w:w="830"/>
        <w:gridCol w:w="831"/>
        <w:gridCol w:w="830"/>
      </w:tblGrid>
      <w:tr w:rsidR="0048488E">
        <w:trPr>
          <w:trHeight w:val="486"/>
        </w:trPr>
        <w:tc>
          <w:tcPr>
            <w:tcW w:w="1227" w:type="dxa"/>
            <w:tcBorders>
              <w:top w:val="single" w:sz="4" w:space="0" w:color="auto"/>
              <w:left w:val="single" w:sz="4" w:space="0" w:color="auto"/>
              <w:bottom w:val="single" w:sz="4" w:space="0" w:color="auto"/>
              <w:right w:val="single" w:sz="4" w:space="0" w:color="auto"/>
              <w:tl2br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　</w:t>
            </w:r>
          </w:p>
        </w:tc>
        <w:tc>
          <w:tcPr>
            <w:tcW w:w="2491" w:type="dxa"/>
            <w:gridSpan w:val="3"/>
            <w:tcBorders>
              <w:top w:val="single" w:sz="4" w:space="0" w:color="auto"/>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样品1 </w:t>
            </w:r>
          </w:p>
        </w:tc>
        <w:tc>
          <w:tcPr>
            <w:tcW w:w="2491" w:type="dxa"/>
            <w:gridSpan w:val="3"/>
            <w:tcBorders>
              <w:top w:val="single" w:sz="4" w:space="0" w:color="auto"/>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样品2 </w:t>
            </w:r>
          </w:p>
        </w:tc>
        <w:tc>
          <w:tcPr>
            <w:tcW w:w="2491" w:type="dxa"/>
            <w:gridSpan w:val="3"/>
            <w:tcBorders>
              <w:top w:val="single" w:sz="4" w:space="0" w:color="auto"/>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样品3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取点1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1.00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1.01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1.26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1.46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1.53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0.58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0.63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0.63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取点2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0.99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1.34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1.56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1.56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0.59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0.64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取点3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1.15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1.16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1.27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1.42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1.44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0.60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0.63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0.61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取点4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1.08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1.01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1.31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1.56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1.51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0.61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0.61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取点5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1.10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1.09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1.18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1.54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平均值 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1.05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1.07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1.08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1.27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1.51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0.60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0.63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r>
      <w:tr w:rsidR="0048488E">
        <w:trPr>
          <w:trHeight w:val="48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最小厚度mm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1.00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0.99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1.01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1.18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1.42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1.44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0.58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0.61 </w:t>
            </w:r>
          </w:p>
        </w:tc>
      </w:tr>
      <w:tr w:rsidR="0048488E">
        <w:trPr>
          <w:trHeight w:val="496"/>
        </w:trPr>
        <w:tc>
          <w:tcPr>
            <w:tcW w:w="1227" w:type="dxa"/>
            <w:tcBorders>
              <w:top w:val="nil"/>
              <w:left w:val="single" w:sz="4" w:space="0" w:color="auto"/>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最大厚度mm</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1.15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1.12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1.16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1.34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1.56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1.56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0.62 </w:t>
            </w:r>
          </w:p>
        </w:tc>
        <w:tc>
          <w:tcPr>
            <w:tcW w:w="831"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0.64 </w:t>
            </w:r>
          </w:p>
        </w:tc>
        <w:tc>
          <w:tcPr>
            <w:tcW w:w="830" w:type="dxa"/>
            <w:tcBorders>
              <w:top w:val="nil"/>
              <w:left w:val="nil"/>
              <w:bottom w:val="single" w:sz="4" w:space="0" w:color="auto"/>
              <w:right w:val="single" w:sz="4" w:space="0" w:color="auto"/>
            </w:tcBorders>
            <w:noWrap/>
            <w:tcMar>
              <w:top w:w="15" w:type="dxa"/>
              <w:left w:w="15" w:type="dxa"/>
              <w:right w:w="15" w:type="dxa"/>
            </w:tcMar>
            <w:vAlign w:val="center"/>
          </w:tcPr>
          <w:p w:rsidR="0048488E" w:rsidRDefault="00983AC2">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rPr>
              <w:t xml:space="preserve">0.64 </w:t>
            </w:r>
          </w:p>
        </w:tc>
      </w:tr>
    </w:tbl>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采用国际标准的程度</w:t>
      </w:r>
    </w:p>
    <w:p w:rsidR="0048488E" w:rsidRDefault="00983AC2">
      <w:pPr>
        <w:ind w:firstLineChars="200" w:firstLine="480"/>
        <w:rPr>
          <w:rFonts w:ascii="宋体" w:eastAsia="宋体" w:hAnsi="宋体"/>
          <w:color w:val="000000"/>
          <w:sz w:val="24"/>
        </w:rPr>
      </w:pPr>
      <w:r>
        <w:rPr>
          <w:rFonts w:ascii="宋体" w:eastAsia="宋体" w:hAnsi="宋体" w:hint="eastAsia"/>
          <w:color w:val="000000"/>
          <w:sz w:val="24"/>
        </w:rPr>
        <w:t>等同采用国际标准</w:t>
      </w:r>
      <w:r>
        <w:rPr>
          <w:rFonts w:ascii="Times New Roman" w:eastAsia="宋体" w:hAnsi="Times New Roman" w:cs="Times New Roman" w:hint="eastAsia"/>
          <w:sz w:val="24"/>
        </w:rPr>
        <w:t>ISO 2286-3: 2016</w:t>
      </w:r>
      <w:r>
        <w:rPr>
          <w:rFonts w:ascii="Times New Roman" w:eastAsia="宋体" w:hAnsi="Times New Roman" w:cs="Times New Roman" w:hint="eastAsia"/>
          <w:sz w:val="24"/>
        </w:rPr>
        <w:t>。</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与有关现行法律、法规和强制性国家标准的关系</w:t>
      </w:r>
    </w:p>
    <w:p w:rsidR="0048488E" w:rsidRDefault="00983AC2">
      <w:pPr>
        <w:ind w:firstLineChars="200" w:firstLine="480"/>
        <w:rPr>
          <w:rFonts w:ascii="宋体" w:eastAsia="宋体" w:hAnsi="宋体"/>
          <w:color w:val="000000"/>
          <w:sz w:val="24"/>
        </w:rPr>
      </w:pPr>
      <w:r>
        <w:rPr>
          <w:rFonts w:ascii="宋体" w:eastAsia="宋体" w:hAnsi="宋体" w:hint="eastAsia"/>
          <w:color w:val="000000"/>
          <w:sz w:val="24"/>
        </w:rPr>
        <w:t>无</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lastRenderedPageBreak/>
        <w:t>重大分歧意见的处理经过和依据</w:t>
      </w:r>
    </w:p>
    <w:p w:rsidR="0048488E" w:rsidRDefault="00983AC2">
      <w:pPr>
        <w:spacing w:line="360" w:lineRule="auto"/>
        <w:rPr>
          <w:rFonts w:ascii="宋体" w:eastAsia="宋体" w:hAnsi="宋体"/>
          <w:color w:val="000000"/>
          <w:sz w:val="24"/>
        </w:rPr>
      </w:pPr>
      <w:r>
        <w:rPr>
          <w:rFonts w:ascii="宋体" w:eastAsia="宋体" w:hAnsi="宋体" w:hint="eastAsia"/>
          <w:color w:val="000000"/>
          <w:sz w:val="24"/>
        </w:rPr>
        <w:t xml:space="preserve">    由于本标准等同采用</w:t>
      </w:r>
      <w:r>
        <w:rPr>
          <w:rFonts w:ascii="Times New Roman" w:eastAsia="宋体" w:hAnsi="Times New Roman" w:cs="Times New Roman" w:hint="eastAsia"/>
          <w:sz w:val="24"/>
        </w:rPr>
        <w:t>ISO 2286-3: 2016</w:t>
      </w:r>
      <w:r>
        <w:rPr>
          <w:rFonts w:ascii="Times New Roman" w:eastAsia="宋体" w:hAnsi="Times New Roman" w:cs="Times New Roman" w:hint="eastAsia"/>
          <w:sz w:val="24"/>
        </w:rPr>
        <w:t>，按照国际标准的条款进行重新修订，无重大分歧意见。</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标准作为强制性标准或推荐性标准的建议</w:t>
      </w:r>
    </w:p>
    <w:p w:rsidR="0048488E" w:rsidRDefault="00983AC2">
      <w:pPr>
        <w:rPr>
          <w:rFonts w:ascii="宋体" w:eastAsia="宋体" w:hAnsi="宋体"/>
          <w:color w:val="000000"/>
          <w:sz w:val="24"/>
        </w:rPr>
      </w:pPr>
      <w:r>
        <w:rPr>
          <w:rFonts w:ascii="宋体" w:eastAsia="宋体" w:hAnsi="宋体" w:hint="eastAsia"/>
          <w:color w:val="000000"/>
          <w:sz w:val="24"/>
        </w:rPr>
        <w:t xml:space="preserve">    建议本标准作为推荐性行业标准。</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贯彻国家标准的要求和措施建议</w:t>
      </w:r>
    </w:p>
    <w:p w:rsidR="0048488E" w:rsidRDefault="00983AC2">
      <w:pPr>
        <w:rPr>
          <w:rFonts w:ascii="宋体" w:eastAsia="宋体" w:hAnsi="宋体"/>
          <w:color w:val="000000"/>
          <w:sz w:val="24"/>
        </w:rPr>
      </w:pPr>
      <w:r>
        <w:rPr>
          <w:rFonts w:ascii="宋体" w:eastAsia="宋体" w:hAnsi="宋体" w:hint="eastAsia"/>
          <w:color w:val="000000"/>
          <w:sz w:val="24"/>
        </w:rPr>
        <w:t xml:space="preserve">    无</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废止现行有关标准的建议</w:t>
      </w:r>
    </w:p>
    <w:p w:rsidR="0048488E" w:rsidRDefault="00983AC2">
      <w:pPr>
        <w:rPr>
          <w:rFonts w:ascii="Times New Roman" w:eastAsia="宋体" w:hAnsi="Times New Roman" w:cs="Times New Roman"/>
          <w:color w:val="000000"/>
          <w:sz w:val="24"/>
        </w:rPr>
      </w:pPr>
      <w:r>
        <w:rPr>
          <w:rFonts w:ascii="宋体" w:eastAsia="宋体" w:hAnsi="宋体" w:hint="eastAsia"/>
          <w:color w:val="000000"/>
          <w:sz w:val="24"/>
        </w:rPr>
        <w:t xml:space="preserve">    </w:t>
      </w:r>
      <w:r>
        <w:rPr>
          <w:rFonts w:ascii="Times New Roman" w:eastAsia="宋体" w:hAnsi="Times New Roman" w:cs="Times New Roman"/>
          <w:color w:val="000000"/>
          <w:sz w:val="24"/>
        </w:rPr>
        <w:t>部分代替</w:t>
      </w:r>
      <w:r>
        <w:rPr>
          <w:rFonts w:ascii="Times New Roman" w:eastAsia="宋体" w:hAnsi="Times New Roman" w:cs="Times New Roman"/>
          <w:color w:val="000000"/>
          <w:sz w:val="24"/>
        </w:rPr>
        <w:t>HG/T3050</w:t>
      </w:r>
      <w:r>
        <w:rPr>
          <w:rFonts w:ascii="Times New Roman" w:eastAsia="宋体" w:hAnsi="Times New Roman" w:cs="Times New Roman" w:hint="eastAsia"/>
          <w:color w:val="000000"/>
          <w:sz w:val="24"/>
        </w:rPr>
        <w:t>.3</w:t>
      </w:r>
      <w:r>
        <w:rPr>
          <w:rFonts w:ascii="Times New Roman" w:eastAsia="宋体" w:hAnsi="Times New Roman" w:cs="Times New Roman"/>
          <w:color w:val="000000"/>
          <w:sz w:val="24"/>
        </w:rPr>
        <w:t>-2001</w:t>
      </w:r>
      <w:r>
        <w:rPr>
          <w:rFonts w:ascii="Times New Roman" w:eastAsia="宋体" w:hAnsi="Times New Roman" w:cs="Times New Roman"/>
          <w:color w:val="000000"/>
          <w:sz w:val="24"/>
        </w:rPr>
        <w:t>。</w:t>
      </w:r>
    </w:p>
    <w:p w:rsidR="0048488E" w:rsidRDefault="00983AC2">
      <w:pPr>
        <w:numPr>
          <w:ilvl w:val="0"/>
          <w:numId w:val="1"/>
        </w:numPr>
        <w:rPr>
          <w:rFonts w:ascii="宋体" w:eastAsia="宋体" w:hAnsi="宋体"/>
          <w:b/>
          <w:bCs/>
          <w:color w:val="000000"/>
          <w:sz w:val="28"/>
          <w:szCs w:val="28"/>
        </w:rPr>
      </w:pPr>
      <w:r>
        <w:rPr>
          <w:rFonts w:ascii="宋体" w:eastAsia="宋体" w:hAnsi="宋体" w:hint="eastAsia"/>
          <w:b/>
          <w:bCs/>
          <w:color w:val="000000"/>
          <w:sz w:val="28"/>
          <w:szCs w:val="28"/>
        </w:rPr>
        <w:t>其他应予以说明的事项</w:t>
      </w:r>
    </w:p>
    <w:p w:rsidR="0048488E" w:rsidRDefault="00983AC2">
      <w:pPr>
        <w:rPr>
          <w:rFonts w:ascii="宋体" w:eastAsia="宋体" w:hAnsi="宋体"/>
          <w:color w:val="000000"/>
          <w:sz w:val="24"/>
        </w:rPr>
      </w:pPr>
      <w:r>
        <w:rPr>
          <w:rFonts w:ascii="宋体" w:eastAsia="宋体" w:hAnsi="宋体" w:hint="eastAsia"/>
          <w:color w:val="000000"/>
          <w:sz w:val="24"/>
        </w:rPr>
        <w:t xml:space="preserve">    无 </w:t>
      </w:r>
    </w:p>
    <w:p w:rsidR="0048488E" w:rsidRDefault="00983AC2">
      <w:pPr>
        <w:rPr>
          <w:rFonts w:ascii="宋体" w:eastAsia="宋体" w:hAnsi="宋体"/>
          <w:color w:val="000000"/>
          <w:sz w:val="28"/>
          <w:szCs w:val="28"/>
        </w:rPr>
      </w:pPr>
      <w:r>
        <w:rPr>
          <w:rFonts w:ascii="宋体" w:eastAsia="宋体" w:hAnsi="宋体" w:hint="eastAsia"/>
          <w:color w:val="000000"/>
          <w:sz w:val="28"/>
          <w:szCs w:val="28"/>
        </w:rPr>
        <w:t xml:space="preserve">                                              </w:t>
      </w:r>
    </w:p>
    <w:p w:rsidR="0048488E" w:rsidRDefault="0048488E">
      <w:pPr>
        <w:rPr>
          <w:rFonts w:ascii="宋体" w:eastAsia="宋体" w:hAnsi="宋体"/>
          <w:color w:val="000000"/>
          <w:sz w:val="28"/>
          <w:szCs w:val="28"/>
        </w:rPr>
      </w:pPr>
    </w:p>
    <w:p w:rsidR="0048488E" w:rsidRDefault="00983AC2">
      <w:pPr>
        <w:jc w:val="center"/>
        <w:rPr>
          <w:rFonts w:ascii="宋体" w:eastAsia="宋体" w:hAnsi="宋体"/>
          <w:color w:val="000000"/>
          <w:sz w:val="28"/>
          <w:szCs w:val="28"/>
        </w:rPr>
      </w:pPr>
      <w:r>
        <w:rPr>
          <w:rFonts w:ascii="宋体" w:eastAsia="宋体" w:hAnsi="宋体" w:hint="eastAsia"/>
          <w:color w:val="000000"/>
          <w:sz w:val="28"/>
          <w:szCs w:val="28"/>
        </w:rPr>
        <w:t xml:space="preserve">                                          标准编制组</w:t>
      </w:r>
    </w:p>
    <w:p w:rsidR="0048488E" w:rsidRDefault="00983AC2">
      <w:pPr>
        <w:rPr>
          <w:rFonts w:ascii="宋体" w:eastAsia="宋体" w:hAnsi="宋体"/>
          <w:color w:val="000000"/>
          <w:sz w:val="28"/>
          <w:szCs w:val="28"/>
        </w:rPr>
      </w:pPr>
      <w:r>
        <w:rPr>
          <w:rFonts w:ascii="宋体" w:eastAsia="宋体" w:hAnsi="宋体" w:hint="eastAsia"/>
          <w:color w:val="000000"/>
          <w:sz w:val="28"/>
          <w:szCs w:val="28"/>
        </w:rPr>
        <w:t xml:space="preserve">                                           2019年2月26日</w:t>
      </w:r>
    </w:p>
    <w:sectPr w:rsidR="0048488E" w:rsidSect="0048488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1FA38"/>
    <w:multiLevelType w:val="singleLevel"/>
    <w:tmpl w:val="5A41FA38"/>
    <w:lvl w:ilvl="0">
      <w:start w:val="1"/>
      <w:numFmt w:val="chineseCounting"/>
      <w:suff w:val="nothing"/>
      <w:lvlText w:val="%1、"/>
      <w:lvlJc w:val="left"/>
    </w:lvl>
  </w:abstractNum>
  <w:abstractNum w:abstractNumId="1">
    <w:nsid w:val="5A41FE2C"/>
    <w:multiLevelType w:val="singleLevel"/>
    <w:tmpl w:val="5A41FE2C"/>
    <w:lvl w:ilvl="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飒">
    <w15:presenceInfo w15:providerId="None" w15:userId="李飒"/>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1F98"/>
    <w:rsid w:val="00231DE9"/>
    <w:rsid w:val="00322366"/>
    <w:rsid w:val="0048488E"/>
    <w:rsid w:val="00527274"/>
    <w:rsid w:val="0072263E"/>
    <w:rsid w:val="007767E3"/>
    <w:rsid w:val="00983AC2"/>
    <w:rsid w:val="009E43D1"/>
    <w:rsid w:val="00D30B80"/>
    <w:rsid w:val="00D715A9"/>
    <w:rsid w:val="00E435D6"/>
    <w:rsid w:val="00EC1F98"/>
    <w:rsid w:val="00EC2F0E"/>
    <w:rsid w:val="00F23C2A"/>
    <w:rsid w:val="00FA2045"/>
    <w:rsid w:val="01D21D74"/>
    <w:rsid w:val="02D70968"/>
    <w:rsid w:val="0619373A"/>
    <w:rsid w:val="076F0944"/>
    <w:rsid w:val="089E1576"/>
    <w:rsid w:val="0A2103D8"/>
    <w:rsid w:val="0A8F0C44"/>
    <w:rsid w:val="0B293A5F"/>
    <w:rsid w:val="0BF74DA7"/>
    <w:rsid w:val="0D4944AC"/>
    <w:rsid w:val="0F806BF9"/>
    <w:rsid w:val="0F9E0A55"/>
    <w:rsid w:val="101712EB"/>
    <w:rsid w:val="12773378"/>
    <w:rsid w:val="18753013"/>
    <w:rsid w:val="18F42B38"/>
    <w:rsid w:val="192208EA"/>
    <w:rsid w:val="1B861812"/>
    <w:rsid w:val="1D232082"/>
    <w:rsid w:val="1DAB283D"/>
    <w:rsid w:val="1F196C5D"/>
    <w:rsid w:val="20872541"/>
    <w:rsid w:val="210D2649"/>
    <w:rsid w:val="21B174BB"/>
    <w:rsid w:val="22EE67F1"/>
    <w:rsid w:val="236064F6"/>
    <w:rsid w:val="250666C6"/>
    <w:rsid w:val="253509CB"/>
    <w:rsid w:val="259C2E99"/>
    <w:rsid w:val="26D37527"/>
    <w:rsid w:val="28273B03"/>
    <w:rsid w:val="2E31499A"/>
    <w:rsid w:val="2F4B6570"/>
    <w:rsid w:val="300E4E71"/>
    <w:rsid w:val="31170F12"/>
    <w:rsid w:val="34FF0353"/>
    <w:rsid w:val="35A65B1E"/>
    <w:rsid w:val="38AD1B3E"/>
    <w:rsid w:val="38B43CDF"/>
    <w:rsid w:val="391B5027"/>
    <w:rsid w:val="3A18303F"/>
    <w:rsid w:val="3B06536E"/>
    <w:rsid w:val="3C072BE9"/>
    <w:rsid w:val="3C841B23"/>
    <w:rsid w:val="3CB1051A"/>
    <w:rsid w:val="3D4A3AD4"/>
    <w:rsid w:val="404E0E18"/>
    <w:rsid w:val="40F2591C"/>
    <w:rsid w:val="41796F98"/>
    <w:rsid w:val="41CB7619"/>
    <w:rsid w:val="46C46477"/>
    <w:rsid w:val="46C77737"/>
    <w:rsid w:val="471A7E2D"/>
    <w:rsid w:val="47A706D2"/>
    <w:rsid w:val="4841056A"/>
    <w:rsid w:val="4B344B0F"/>
    <w:rsid w:val="4C851BE8"/>
    <w:rsid w:val="4CCD0746"/>
    <w:rsid w:val="4D1F5A77"/>
    <w:rsid w:val="4DE50466"/>
    <w:rsid w:val="4E3340F7"/>
    <w:rsid w:val="4F7536A8"/>
    <w:rsid w:val="50321D55"/>
    <w:rsid w:val="504F546F"/>
    <w:rsid w:val="506024EF"/>
    <w:rsid w:val="50A456DA"/>
    <w:rsid w:val="510877E1"/>
    <w:rsid w:val="52C5617C"/>
    <w:rsid w:val="55913A12"/>
    <w:rsid w:val="56CB18B6"/>
    <w:rsid w:val="579C08CB"/>
    <w:rsid w:val="581019E6"/>
    <w:rsid w:val="5875432D"/>
    <w:rsid w:val="58C55A0E"/>
    <w:rsid w:val="594C2141"/>
    <w:rsid w:val="598C7846"/>
    <w:rsid w:val="59BF3680"/>
    <w:rsid w:val="5CD35FB9"/>
    <w:rsid w:val="5D4524A2"/>
    <w:rsid w:val="5D6170B3"/>
    <w:rsid w:val="5E5A6BA0"/>
    <w:rsid w:val="60C66358"/>
    <w:rsid w:val="63CF5941"/>
    <w:rsid w:val="64200F71"/>
    <w:rsid w:val="66FB4A78"/>
    <w:rsid w:val="67ED0872"/>
    <w:rsid w:val="6AED3C4D"/>
    <w:rsid w:val="6BA2478C"/>
    <w:rsid w:val="6FCE35C4"/>
    <w:rsid w:val="70581C91"/>
    <w:rsid w:val="70B437CE"/>
    <w:rsid w:val="734463A2"/>
    <w:rsid w:val="736D2BA2"/>
    <w:rsid w:val="73C54B84"/>
    <w:rsid w:val="75F676C3"/>
    <w:rsid w:val="764D2D59"/>
    <w:rsid w:val="76DA476E"/>
    <w:rsid w:val="77E702CD"/>
    <w:rsid w:val="79166673"/>
    <w:rsid w:val="79F827B9"/>
    <w:rsid w:val="7B624846"/>
    <w:rsid w:val="7B663CBC"/>
    <w:rsid w:val="7B7457F7"/>
    <w:rsid w:val="7CF146B4"/>
    <w:rsid w:val="7D7F392B"/>
    <w:rsid w:val="7EC00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88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48488E"/>
    <w:rPr>
      <w: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507</Words>
  <Characters>2892</Characters>
  <Application>Microsoft Office Word</Application>
  <DocSecurity>0</DocSecurity>
  <Lines>24</Lines>
  <Paragraphs>6</Paragraphs>
  <ScaleCrop>false</ScaleCrop>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yanyang</dc:creator>
  <cp:lastModifiedBy>李飒</cp:lastModifiedBy>
  <cp:revision>12</cp:revision>
  <cp:lastPrinted>2019-02-25T01:46:00Z</cp:lastPrinted>
  <dcterms:created xsi:type="dcterms:W3CDTF">2019-07-02T06:28:00Z</dcterms:created>
  <dcterms:modified xsi:type="dcterms:W3CDTF">2019-07-25T07:55:00Z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